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Comprehensive Use and Onboarding Guide</w:t>
      </w:r>
    </w:p>
    <w:p>
      <w:pPr>
        <w:pStyle w:val="Subtitle"/>
        <w:jc w:val="center"/>
      </w:pPr>
      <w:r>
        <w:t>IMFS One Enterprise Platform</w:t>
        <w:br/>
      </w:r>
    </w:p>
    <w:p>
      <w:pPr>
        <w:pStyle w:val="Heading1"/>
      </w:pPr>
      <w:r>
        <w:t>TABLE OF CONTENTS</w:t>
      </w:r>
    </w:p>
    <w:p>
      <w:r>
        <w:t xml:space="preserve"> Chapter 1: Access and User Onboarding (Admin)</w:t>
      </w:r>
    </w:p>
    <w:p>
      <w:r>
        <w:t xml:space="preserve"> Chapter 2: Entity Onboarding (Operational Setup)</w:t>
      </w:r>
    </w:p>
    <w:p>
      <w:r>
        <w:t xml:space="preserve"> Chapter 3: Interface and Navigation</w:t>
      </w:r>
    </w:p>
    <w:p>
      <w:r>
        <w:t xml:space="preserve"> Chapter 4: Business Process Flows (BPF)</w:t>
      </w:r>
    </w:p>
    <w:p>
      <w:r>
        <w:t xml:space="preserve"> Chapter 5: Document Generation and Reporting</w:t>
      </w:r>
    </w:p>
    <w:p>
      <w:r>
        <w:t xml:space="preserve"> Chapter 6: Communication and Collaboration</w:t>
      </w:r>
    </w:p>
    <w:p>
      <w:r>
        <w:t xml:space="preserve"> Chapter 7: Technical Details and DevOps</w:t>
        <w:br/>
      </w:r>
    </w:p>
    <w:p>
      <w:pPr>
        <w:pStyle w:val="Heading1"/>
      </w:pPr>
      <w:r>
        <w:t>Chapter 1: Access and User Onboarding (Admin)</w:t>
      </w:r>
    </w:p>
    <w:p>
      <w:r>
        <w:t>This chapter is exclusively addressed to System Administrators and Team Managers, who are responsible for the team's technical configuration, defining permissions (RBAC), and overall platform security.</w:t>
      </w:r>
    </w:p>
    <w:p>
      <w:pPr>
        <w:pStyle w:val="Heading2"/>
      </w:pPr>
      <w:r>
        <w:t>1.1. Creating a User Account</w:t>
      </w:r>
    </w:p>
    <w:p>
      <w:r>
        <w:t>The Admin module is accessed by navigating in the lateral menu to the Admin &gt; Users section. Here you have a clear overview of all members with platform access.</w:t>
      </w:r>
    </w:p>
    <w:p>
      <w:r>
        <w:t>Steps for adding a new user:</w:t>
      </w:r>
    </w:p>
    <w:p>
      <w:r>
        <w:t>1. Click the 'Add User' button. The system will open the creation form.</w:t>
      </w:r>
    </w:p>
    <w:p>
      <w:r>
        <w:t>2. Enter the basic data: First Name, Last Name, and a valid institutional Email (@imfs.ro), which will also represent the login username.</w:t>
      </w:r>
    </w:p>
    <w:p>
      <w:r>
        <w:t>Setting Roles and Permissions:</w:t>
      </w:r>
    </w:p>
    <w:p>
      <w:r>
        <w:t>The system uses a complex level of RBAC (Role-Based Access Control). You can choose:</w:t>
      </w:r>
    </w:p>
    <w:p>
      <w:pPr>
        <w:pStyle w:val="ListBullet"/>
      </w:pPr>
      <w:r>
        <w:t>• Admin: Total, unrestricted access to all modules and critical settings.</w:t>
      </w:r>
    </w:p>
    <w:p>
      <w:pPr>
        <w:pStyle w:val="ListBullet"/>
      </w:pPr>
      <w:r>
        <w:t>• Manager: Increased permission, access to global reports and validations, but without access to system configurations.</w:t>
      </w:r>
    </w:p>
    <w:p>
      <w:pPr>
        <w:pStyle w:val="ListBullet"/>
      </w:pPr>
      <w:r>
        <w:t>• Agent: Limited access only to the data expressly assigned to them (e.g., an Enforcement Agent will access strictly their case files or their territory).</w:t>
      </w:r>
    </w:p>
    <w:p>
      <w:pPr>
        <w:pStyle w:val="ListBullet"/>
      </w:pPr>
      <w:r>
        <w:t>• Viewer: Read-only/consultation account, with zero editing rights.</w:t>
      </w:r>
    </w:p>
    <w:p>
      <w:r>
        <w:t>Immediately after creating the profile, access can be refined per module (e.g., the Agent receives access ONLY to Foreclosures, having the CRM or CAR options completely deactivated from the interface).</w:t>
      </w:r>
    </w:p>
    <w:p>
      <w:r>
        <w:t>Password Generation: The platform does not allow the manual setting of weakly secured passwords. The system automatically generates a complex temporary password (e.g., X9#kL2$mP5@qR). This will be provided in the current window and dispatched to the institutional email.</w:t>
      </w:r>
    </w:p>
    <w:p>
      <w:pPr>
        <w:pStyle w:val="Heading2"/>
      </w:pPr>
      <w:r>
        <w:t>1.2. Security and Authentication</w:t>
      </w:r>
    </w:p>
    <w:p>
      <w:r>
        <w:t>Login security is critical. Upon first login, the employee clicks on the link received via email ('IMFS One account activation') and enters the temporary password. The platform instantly forces them to choose their own permanent password, which must contain a minimum of 8 characters, an uppercase letter, a lowercase letter, and a number.</w:t>
      </w:r>
    </w:p>
    <w:p>
      <w:r>
        <w:t>Password resets:</w:t>
      </w:r>
    </w:p>
    <w:p>
      <w:r>
        <w:t>1. Autonomous: From their account (Profile -&gt; Change Password), requesting the old password.</w:t>
      </w:r>
    </w:p>
    <w:p>
      <w:r>
        <w:t>2. Administrative: An Administrator enters their profile, searches for the user, and generates a reset link using the 'admin_reset_password' tool.</w:t>
      </w:r>
    </w:p>
    <w:p>
      <w:r>
        <w:t>All accounts benefit from temporary blocking policies after 5 failed attempts and the necessity of password expiration at 90 days.</w:t>
      </w:r>
    </w:p>
    <w:p>
      <w:pPr>
        <w:pStyle w:val="Heading2"/>
      </w:pPr>
      <w:r>
        <w:t>1.3. Profile Configuration (Essential Data)</w:t>
      </w:r>
    </w:p>
    <w:p>
      <w:r>
        <w:t>A large part of the system is automated. Therefore, uploading the transparent digital signature (transparent PNG) in the Profile is mandatory, along with the direct phone number and the employee's role. Generated documents (Summons, Contracts, Reports) will append these elements instantly. Additionally, the user can opt for notifications via Email, SMS, or Push Notifications for their tasks.</w:t>
      </w:r>
    </w:p>
    <w:p>
      <w:pPr>
        <w:pStyle w:val="Heading1"/>
      </w:pPr>
      <w:r>
        <w:t>Chapter 2: Entity Onboarding (Operational Setup)</w:t>
      </w:r>
    </w:p>
    <w:p>
      <w:r>
        <w:t>Each department uses certain unique inputs. This chapter exactly details the process of bringing 'raw material' into our visual architecture.</w:t>
      </w:r>
    </w:p>
    <w:p>
      <w:pPr>
        <w:pStyle w:val="Heading2"/>
      </w:pPr>
      <w:r>
        <w:t>2.1. Member Onboarding (CAR Module)</w:t>
      </w:r>
    </w:p>
    <w:p>
      <w:r>
        <w:t>Access: Navigate from the lateral menu to CAR &gt; Members &gt; Add Member.</w:t>
      </w:r>
    </w:p>
    <w:p>
      <w:r>
        <w:t>1. Completing KYC (Know Your Customer): Writing the CNP (Personal Identification Number) will automatically trigger (where possible) the verification and auto-completion of gender, date of birth, and name from the queried databases.</w:t>
      </w:r>
    </w:p>
    <w:p>
      <w:r>
        <w:t>2. Document Upload: The platform offers dedicated slots for the Identity Card Copy (front/back), and PDF files for Income Certificate or Contract.</w:t>
      </w:r>
    </w:p>
    <w:p>
      <w:r>
        <w:t>3. Financial Data and Employer: You will enter the current Employer's Name, position, and set the Net Salary (fundamental for subsequent calculations through artificial intelligence regarding the maximum indebtedness rate).</w:t>
      </w:r>
    </w:p>
    <w:p>
      <w:r>
        <w:t>4. Social Fund: Configuration of Initial Social Fund (e.g., 500 RON) followed by the standard monthly contribution (e.g., 50 RON).</w:t>
      </w:r>
    </w:p>
    <w:p>
      <w:r>
        <w:t>After confirmation, the Member Account file in the format 'IMFS0001' will be exclusively generated.</w:t>
      </w:r>
    </w:p>
    <w:p>
      <w:pPr>
        <w:pStyle w:val="Heading2"/>
      </w:pPr>
      <w:r>
        <w:t>2.2. Debtor Onboarding (Enforcement Module)</w:t>
      </w:r>
    </w:p>
    <w:p>
      <w:r>
        <w:t>Access: Lateral menu &gt; Enforcements &gt; Debtors &gt; Add Debtor.</w:t>
      </w:r>
    </w:p>
    <w:p>
      <w:r>
        <w:t>1. Import method: Import from structured Excel files (for large portfolios) or manual creation.</w:t>
      </w:r>
    </w:p>
    <w:p>
      <w:r>
        <w:t>2. Identification and Case File Data: Settings based on Full Name/CNP or Company Name/CUI for businesses. The system automatically generates the Case File number (e.g., DOS-2026-001). Here you directly select the Creditor Institution and a predefined Bailiff (BEJ) from the system.</w:t>
      </w:r>
    </w:p>
    <w:p>
      <w:r>
        <w:t>3. Debit and Financial: Broken-down manual completion: Principal Debit, Interests from the historical archive, Penalties calculated up to date.</w:t>
      </w:r>
    </w:p>
    <w:p>
      <w:r>
        <w:t>4. Writ of Execution and Actions: The nature of the title will be indicated (Promissory Note, Credit Contract). The platform automatically activates the first elements for garnishment and the issuance of Measures (Summons followed by seizure).</w:t>
      </w:r>
    </w:p>
    <w:p>
      <w:pPr>
        <w:pStyle w:val="Heading2"/>
      </w:pPr>
      <w:r>
        <w:t>2.3. Partner Onboarding (Accounting / CRM Module)</w:t>
      </w:r>
    </w:p>
    <w:p>
      <w:r>
        <w:t>The largest source of administrative errors completely disappears from the IMFS platform through digitized auto-completion.</w:t>
      </w:r>
    </w:p>
    <w:p>
      <w:r>
        <w:t>Verifying B2B partners: Completing the first field, namely the CUI (VAT ID), sends a secure query to the ANAF servers, from where the company name, declared registered office, VAT status (payer/non-payer), and RO-eInvoice integration are automatically downloaded into the system.</w:t>
      </w:r>
    </w:p>
    <w:p>
      <w:r>
        <w:t>Settings are finalized by marking them as Supplier, Client, or Both, and the platform automatically creates Analytical Accounts (401-001 for supplier payment or 411 for clients).</w:t>
      </w:r>
    </w:p>
    <w:p>
      <w:pPr>
        <w:pStyle w:val="Heading1"/>
      </w:pPr>
      <w:r>
        <w:t>Chapter 3: Interface and Navigation</w:t>
      </w:r>
    </w:p>
    <w:p>
      <w:r>
        <w:t>The platform has cleaned up the entire noisy environment for an uncluttered dashboard.</w:t>
      </w:r>
    </w:p>
    <w:p>
      <w:pPr>
        <w:pStyle w:val="Heading2"/>
      </w:pPr>
      <w:r>
        <w:t>3.1. Personalized Dashboard</w:t>
      </w:r>
    </w:p>
    <w:p>
      <w:r>
        <w:t>Contextual connection. The widgets displayed at startup strictly respect the held Role. An accountant sees 'Due Payments' and 'Unreviewed SPV Invoices', the manager sees Key Performance Indicators, and an enforcement agent has a clear flow with 'New Case Files and Urgent Tasks'. Nobody receives noise from other departments.</w:t>
      </w:r>
    </w:p>
    <w:p>
      <w:pPr>
        <w:pStyle w:val="Heading2"/>
      </w:pPr>
      <w:r>
        <w:t>3.2. Smart Search (Global Bar)</w:t>
      </w:r>
    </w:p>
    <w:p>
      <w:r>
        <w:t>The fastest way to find information. Type a name, CNP, fragment of a mandate, or any sequence, and the algorithm immediately displays the found connections: the respective person, the case files in which they are targeted, and the invoices bearing their name.</w:t>
      </w:r>
    </w:p>
    <w:p>
      <w:pPr>
        <w:pStyle w:val="Heading2"/>
      </w:pPr>
      <w:r>
        <w:t>3.3. ALEX – The AI Assistant</w:t>
      </w:r>
    </w:p>
    <w:p>
      <w:r>
        <w:t>The dynamic contextual chat is the future of action systems. ALEX eliminates going through dozens of menus. You can simply type: 'Show me the balance of debtor Ionescu Vasile', or you can issue complex commands: 'Generate the summons according to the template on case file 243'. Artificial Intelligence takes the request, searches the server, processes, and offers you the generate/download button on the screen in a fraction of the time.</w:t>
      </w:r>
    </w:p>
    <w:p>
      <w:pPr>
        <w:pStyle w:val="Heading1"/>
      </w:pPr>
      <w:r>
        <w:t>Chapter 4: Business Process Flows (BPF)</w:t>
      </w:r>
    </w:p>
    <w:p>
      <w:r>
        <w:t>Business Process Flows ensure procedurization and legal compliance at every step of the company.</w:t>
      </w:r>
    </w:p>
    <w:p>
      <w:r>
        <w:t>1. Credit Flow (CAR):</w:t>
      </w:r>
    </w:p>
    <w:p>
      <w:pPr>
        <w:pStyle w:val="ListBullet"/>
      </w:pPr>
      <w:r>
        <w:t>It starts with taking over the Request, the system blocks a direct transition to Contracting. Before this, the AI goes through the Analysis and Scoring module based on the net salary. The manager's decisional Approval follows. After this, the electronic Contract is automatically issued and the direct Transfer module is unlocked.</w:t>
      </w:r>
    </w:p>
    <w:p>
      <w:r>
        <w:t>2. Enforcement Flow:</w:t>
      </w:r>
    </w:p>
    <w:p>
      <w:pPr>
        <w:pStyle w:val="ListBullet"/>
      </w:pPr>
      <w:r>
        <w:t>No recovery is permitted without legal notices. The case file starts from the mandatory Summons followed by the Approval steps, the application of Garnishments towards banks, the final physical Recovery and eventually, the Closure of the Case File on the total course.</w:t>
      </w:r>
    </w:p>
    <w:p>
      <w:r>
        <w:t>3. Hidden Automations (Hooks):</w:t>
      </w:r>
    </w:p>
    <w:p>
      <w:pPr>
        <w:pStyle w:val="ListBullet"/>
      </w:pPr>
      <w:r>
        <w:t>Transitions have an instant effect in real life. When a case file enters the 'Summons sent' stage, the system recognizes and, based on the registered contact number, triggers an SMS API call, generating a specific text to the client directly on the phone, without human factor.</w:t>
      </w:r>
    </w:p>
    <w:p>
      <w:pPr>
        <w:pStyle w:val="Heading1"/>
      </w:pPr>
      <w:r>
        <w:t>Chapter 5: Document Generation and Reporting</w:t>
      </w:r>
    </w:p>
    <w:p>
      <w:r>
        <w:t>The modern slave in an ERP is the generation of document copies. With us, it is integrated and clean.</w:t>
      </w:r>
    </w:p>
    <w:p>
      <w:r>
        <w:t>1. Dynamic Templates:</w:t>
      </w:r>
    </w:p>
    <w:p>
      <w:pPr>
        <w:pStyle w:val="ListBullet"/>
      </w:pPr>
      <w:r>
        <w:t>A Word document agreed upon by lawyers turns into a print-ready address in exactly 2 seconds. The creditor's name, base amounts, bailiff's name, and the value of the current interest dynamically populate the text. At the end, the digital signature saved from the 'Profile' section is placed, reducing errors to absolute zero.</w:t>
      </w:r>
    </w:p>
    <w:p>
      <w:r>
        <w:t>2. Workspace &amp; Data Analysis:</w:t>
      </w:r>
    </w:p>
    <w:p>
      <w:pPr>
        <w:pStyle w:val="ListBullet"/>
      </w:pPr>
      <w:r>
        <w:t>Excel files are created at a simple visual retrieval. For managers, actions like 'Monthly report of enforcements per BEJ' displayed directly in charts on the dashboard can be programmed.</w:t>
      </w:r>
    </w:p>
    <w:p>
      <w:r>
        <w:t>3. E-Invoice Integration:</w:t>
      </w:r>
    </w:p>
    <w:p>
      <w:pPr>
        <w:pStyle w:val="ListBullet"/>
      </w:pPr>
      <w:r>
        <w:t>Invisible flow. B2B invoices are sent to the ANAF Virtual Private Space, being validated through cron-type logic. The green status indicates guaranteed fiscal reception.</w:t>
      </w:r>
    </w:p>
    <w:p>
      <w:pPr>
        <w:pStyle w:val="Heading1"/>
      </w:pPr>
      <w:r>
        <w:t>Chapter 6: Communication and Collaboration</w:t>
      </w:r>
    </w:p>
    <w:p>
      <w:r>
        <w:t>The actions of modern companies are not individual, they are team-based.</w:t>
      </w:r>
    </w:p>
    <w:p>
      <w:r>
        <w:t>1. Connect Module (Contextual Chat):</w:t>
      </w:r>
    </w:p>
    <w:p>
      <w:pPr>
        <w:pStyle w:val="ListBullet"/>
      </w:pPr>
      <w:r>
        <w:t>Instead of the discussion about a debtor taking place chaotically on WhatsApp, on the platform an officer signaled with a tag (@andrei.legal) right inside that respective debtor's window, giving birth to a closed and permanent contextual history.</w:t>
      </w:r>
    </w:p>
    <w:p>
      <w:r>
        <w:t>2. Reminder Tasks:</w:t>
      </w:r>
    </w:p>
    <w:p>
      <w:pPr>
        <w:pStyle w:val="ListBullet"/>
      </w:pPr>
      <w:r>
        <w:t>Setting alerts prevents procedural disasters, such as the statute of limitations for certain decisions.</w:t>
      </w:r>
    </w:p>
    <w:p>
      <w:r>
        <w:t>3. Audit Trail (Complete Activity Log):</w:t>
      </w:r>
    </w:p>
    <w:p>
      <w:pPr>
        <w:pStyle w:val="ListBullet"/>
      </w:pPr>
      <w:r>
        <w:t>Nothing is manipulated unseen. Any edit on debits, reports, or the modification of the employer's salary for the profile leaves an invisible footprint 100% monitored: Who, On what Date, and To what value it was switched.</w:t>
      </w:r>
    </w:p>
    <w:p>
      <w:pPr>
        <w:pStyle w:val="Heading1"/>
      </w:pPr>
      <w:r>
        <w:t>Chapter 7: Technical Details and DevOps</w:t>
      </w:r>
    </w:p>
    <w:p>
      <w:r>
        <w:t>The Technical Environment of the Platform benefits from proactive dynamic adjustments meant to support zero-downtime.</w:t>
      </w:r>
    </w:p>
    <w:p>
      <w:r>
        <w:t>Auto-Healing Management: When certain modules fluctuate excessive RAM usage (for example blockages in the area of proxies and LLM / ministral-l4 backends), the system will block Crash-Loops automatically through refactoring of the sent load volume.</w:t>
      </w:r>
    </w:p>
    <w:p>
      <w:r>
        <w:t>Multi-tenant Database: Large queries are scaled to ensure that on the CRM modules, the contract tables do not lose the connection on UI/UX and the rendering is asynchronous and performant, independent of the general saturation degree of the platform.</w:t>
      </w:r>
    </w:p>
    <w:p>
      <w:pPr>
        <w:pStyle w:val="Subtitle"/>
        <w:jc w:val="center"/>
      </w:pPr>
      <w:r>
        <w:br/>
        <w:br/>
        <w:t>IMFS Enterprise - The System of Action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0339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3366CC"/>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0339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i/>
      <w:iCs/>
      <w:color w:val="646464"/>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